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DD" w:rsidRPr="00A77EDD" w:rsidRDefault="00A77EDD" w:rsidP="00A77EDD">
      <w:pPr>
        <w:shd w:val="clear" w:color="auto" w:fill="FFFFFF"/>
        <w:spacing w:after="173" w:line="7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З 22 </w:t>
      </w:r>
      <w:proofErr w:type="spellStart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травня</w:t>
      </w:r>
      <w:proofErr w:type="spellEnd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офіційно</w:t>
      </w:r>
      <w:proofErr w:type="spellEnd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почав </w:t>
      </w:r>
      <w:proofErr w:type="spellStart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діяти</w:t>
      </w:r>
      <w:proofErr w:type="spellEnd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новий</w:t>
      </w:r>
      <w:proofErr w:type="spellEnd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український</w:t>
      </w:r>
      <w:proofErr w:type="spellEnd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A77ED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правопис</w:t>
      </w:r>
      <w:proofErr w:type="spellEnd"/>
    </w:p>
    <w:p w:rsidR="00C937A7" w:rsidRPr="00C937A7" w:rsidRDefault="00C937A7" w:rsidP="00C937A7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У середу, 22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травня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2024 </w:t>
      </w:r>
      <w:proofErr w:type="gram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року, 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сплив</w:t>
      </w:r>
      <w:proofErr w:type="spellEnd"/>
      <w:proofErr w:type="gram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пʼятирічний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перехідний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період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для чинного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українського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затвердженого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Постановою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Кабміну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№437 «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Питання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українського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22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травня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2019 року. </w:t>
      </w:r>
    </w:p>
    <w:p w:rsidR="00C937A7" w:rsidRPr="00C937A7" w:rsidRDefault="00C937A7" w:rsidP="00C937A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—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Цей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виграв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усі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судові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справи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які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нього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порушували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противники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декомунізації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прихильники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1993 року.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22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травня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2024 року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старі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норми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вважатимуться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нечинними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помилковими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—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fldChar w:fldCharType="begin"/>
      </w: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instrText xml:space="preserve"> HYPERLINK "https://vn.20minut.ua/goto/aHR0cHMlM0ElMkYlMkZ3d3cuZmFjZWJvb2suY29tJTJGb2xoYS52YXN5bGlldmEubGl0cmVkJTJGcG9zdHMlMkZwZmJpZDAyWDhCRGFvVUpacnkyUFM3WkNVOWFId1FqMnZ6S2M3V3NlSzFXbnB1SzZKYUdkVFlhY1lFaDJYNEFEcHd5ckw3aGw=" \t "_blank" </w:instrText>
      </w: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fldChar w:fldCharType="separate"/>
      </w:r>
      <w:r w:rsidRPr="00C937A7">
        <w:rPr>
          <w:rFonts w:ascii="Arial" w:eastAsia="Times New Roman" w:hAnsi="Arial" w:cs="Arial"/>
          <w:color w:val="3F51B5"/>
          <w:sz w:val="24"/>
          <w:szCs w:val="24"/>
          <w:lang w:eastAsia="ru-RU"/>
        </w:rPr>
        <w:t>наголосила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fldChar w:fldCharType="end"/>
      </w: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редакторка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 Ольга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Васильєва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 </w:t>
      </w:r>
    </w:p>
    <w:p w:rsidR="00C937A7" w:rsidRPr="00C937A7" w:rsidRDefault="00C937A7" w:rsidP="00C937A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Мовний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закон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перебував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відкритому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громадському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обговоренні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15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серпня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до 1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жовтня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2018 року.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Кожен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охочий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міг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подати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свої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пропозиції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зауваження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Деякі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правки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загалом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їх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було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понад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500)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Комісія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внесла в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остаточну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версію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 початку</w:t>
      </w:r>
      <w:proofErr w:type="gram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червня закон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опублікований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офіційних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сайтах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Міністерства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освіти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науки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Національної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академії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наук,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майже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миттєво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одразу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червні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з’явився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перший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позов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до суду про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скасування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запропонованих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змін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28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січня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2021 року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Окружний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адміністративний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суд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міста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Києва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навіть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скасував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запровадження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постанови КМУ про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зміну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чинного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Але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рішення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було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скасоване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апеляцією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травні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Людям,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звичним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зросійщеної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вимови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граматики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орфографії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було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психологічно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складно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погодитися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тим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наприклад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ефір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»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стає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етером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», а слово «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проєкт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»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має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писатися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так само, як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усі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інші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слова 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коренем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–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ject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Прихильникам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цілеспрямованої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активної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українізації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новий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видавався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недостатнім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»,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переважній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більшості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видавався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надмірним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».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Українці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мали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вдосталь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можливостей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сваритися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мову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охоче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цим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зайнялися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Отож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детальніше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про те,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змінилося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shd w:val="clear" w:color="auto" w:fill="FFFFFF"/>
        <w:spacing w:before="540" w:after="285" w:line="450" w:lineRule="atLeast"/>
        <w:outlineLvl w:val="1"/>
        <w:rPr>
          <w:rFonts w:ascii="Arial" w:eastAsia="Times New Roman" w:hAnsi="Arial" w:cs="Arial"/>
          <w:color w:val="3F51B5"/>
          <w:sz w:val="41"/>
          <w:szCs w:val="41"/>
          <w:lang w:eastAsia="ru-RU"/>
        </w:rPr>
      </w:pPr>
      <w:r w:rsidRPr="00C937A7">
        <w:rPr>
          <w:rFonts w:ascii="Arial" w:eastAsia="Times New Roman" w:hAnsi="Arial" w:cs="Arial"/>
          <w:color w:val="3F51B5"/>
          <w:sz w:val="41"/>
          <w:szCs w:val="41"/>
          <w:lang w:eastAsia="ru-RU"/>
        </w:rPr>
        <w:t xml:space="preserve">ДИРЕКТИВНА НОРМА (та, </w:t>
      </w:r>
      <w:proofErr w:type="spellStart"/>
      <w:r w:rsidRPr="00C937A7">
        <w:rPr>
          <w:rFonts w:ascii="Arial" w:eastAsia="Times New Roman" w:hAnsi="Arial" w:cs="Arial"/>
          <w:color w:val="3F51B5"/>
          <w:sz w:val="41"/>
          <w:szCs w:val="41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3F51B5"/>
          <w:sz w:val="41"/>
          <w:szCs w:val="41"/>
          <w:lang w:eastAsia="ru-RU"/>
        </w:rPr>
        <w:t xml:space="preserve"> без </w:t>
      </w:r>
      <w:proofErr w:type="spellStart"/>
      <w:r w:rsidRPr="00C937A7">
        <w:rPr>
          <w:rFonts w:ascii="Arial" w:eastAsia="Times New Roman" w:hAnsi="Arial" w:cs="Arial"/>
          <w:color w:val="3F51B5"/>
          <w:sz w:val="41"/>
          <w:szCs w:val="41"/>
          <w:lang w:eastAsia="ru-RU"/>
        </w:rPr>
        <w:t>варіантів</w:t>
      </w:r>
      <w:proofErr w:type="spellEnd"/>
      <w:r w:rsidRPr="00C937A7">
        <w:rPr>
          <w:rFonts w:ascii="Arial" w:eastAsia="Times New Roman" w:hAnsi="Arial" w:cs="Arial"/>
          <w:color w:val="3F51B5"/>
          <w:sz w:val="41"/>
          <w:szCs w:val="41"/>
          <w:lang w:eastAsia="ru-RU"/>
        </w:rPr>
        <w:t>):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540" w:after="285" w:line="450" w:lineRule="atLeast"/>
        <w:ind w:left="0"/>
        <w:outlineLvl w:val="1"/>
        <w:rPr>
          <w:rFonts w:ascii="inherit" w:eastAsia="Times New Roman" w:hAnsi="inherit" w:cs="Arial"/>
          <w:color w:val="3F51B5"/>
          <w:sz w:val="41"/>
          <w:szCs w:val="41"/>
          <w:lang w:eastAsia="ru-RU"/>
        </w:rPr>
      </w:pPr>
      <w:proofErr w:type="spellStart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Латинський</w:t>
      </w:r>
      <w:proofErr w:type="spellEnd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 xml:space="preserve"> </w:t>
      </w:r>
      <w:proofErr w:type="spellStart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корінь</w:t>
      </w:r>
      <w:proofErr w:type="spellEnd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 xml:space="preserve"> -</w:t>
      </w:r>
      <w:proofErr w:type="spellStart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ject</w:t>
      </w:r>
      <w:proofErr w:type="spellEnd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 xml:space="preserve">- </w:t>
      </w:r>
      <w:proofErr w:type="spellStart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передаємо</w:t>
      </w:r>
      <w:proofErr w:type="spellEnd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 xml:space="preserve"> з є: </w:t>
      </w:r>
      <w:proofErr w:type="spellStart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проєкт</w:t>
      </w:r>
      <w:proofErr w:type="spellEnd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 xml:space="preserve">, </w:t>
      </w:r>
      <w:proofErr w:type="spellStart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проєкція</w:t>
      </w:r>
      <w:proofErr w:type="spellEnd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 xml:space="preserve">, </w:t>
      </w:r>
      <w:proofErr w:type="spellStart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проєктор</w:t>
      </w:r>
      <w:proofErr w:type="spellEnd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 xml:space="preserve"> (як </w:t>
      </w:r>
      <w:proofErr w:type="spellStart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траєкторія</w:t>
      </w:r>
      <w:proofErr w:type="spellEnd"/>
      <w:r w:rsidRPr="00C937A7">
        <w:rPr>
          <w:rFonts w:ascii="inherit" w:eastAsia="Times New Roman" w:hAnsi="inherit" w:cs="Arial"/>
          <w:color w:val="3F51B5"/>
          <w:sz w:val="41"/>
          <w:szCs w:val="41"/>
          <w:lang w:eastAsia="ru-RU"/>
        </w:rPr>
        <w:t>).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Пишемо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без й слова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Ісая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Гоя,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Соєр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Хаям;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секвоя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фоє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єті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подібні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Разом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пишемо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слова з першим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іншомовним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компонентом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бліц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екстра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максі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міді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міні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преміум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топ-,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флеш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-;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віце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екс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-; арт-,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боди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боді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 (перед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голосним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), веб-,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економ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поп-,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смарт-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бліцновини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мінісукня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преміумклас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флешпам'ять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віцепрезидент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ексміністр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;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артгалерея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бодибалет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бодіарт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вебсторінка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економклас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етногурт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попмузика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прессекретар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масмедіа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токшоу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смартгодинник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дрескод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топменеджер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(але «топ» не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поєднується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числівниками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Числівник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іменниками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пишемо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окремо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року,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яблука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Європи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але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півзахисник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півмісяць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півострів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 xml:space="preserve">За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допомогою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суфіксів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-к-,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иц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-(я), -ин-(я),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іменників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чоловічого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роду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утворюємо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іменники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означення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осіб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жіночої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статі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директорка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верстальниця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філологиня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патронеса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тощо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Священник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пишемо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подвоєнням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як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письменник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Пишемо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двотижневий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тривідсотковий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чотириярусний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але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двохсотий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трьохтисячний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чотирьохмільйонний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чотирьохмільярдний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Дробові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числівники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третіх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три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четвертих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замість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треті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три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четверті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Російські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прізвища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оригіналу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закінчуються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-ой,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пишемо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Донський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Трубецький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Крутий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 Але Лев Толстой.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До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мʼякої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групи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іменників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належать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імена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Ігор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Лазар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Ігоря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Ігорю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Ігорьович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; Лазаря, Лазарю,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Лазарьович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), 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також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слово хабар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хабаря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а не хабара).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звертаннях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форму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кличного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набувають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обидва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слова: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па‌не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лейтена‌нте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бра‌те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Пе‌тре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лі‌карю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І‌горю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побрати‌ме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Іва‌не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Сер,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сір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кличному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мають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таку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саму форму,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називному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віртуальних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соціальних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.) мереж у родовому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мають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закінчення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-у: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інстаграму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телеграму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фейсбуку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ютубу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Звук [h]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передаємо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буквою г: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госпіс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гостел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Гарвард,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Гельсінкі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окрім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деяких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європейських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слів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хо‌бі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хоке‌й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хол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хо‌лдинг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)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всіх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слів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східного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походження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брахма‌н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джиха‌д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моджахе‌д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харакі‌рі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Англійське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буквосполучення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ck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відтворюємо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українською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буквою к без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подвоєння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Ді‌кенс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Те‌керей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Бе‌кі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Бу‌кінгем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Німецьке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буквосполучення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ei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передаємо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як ай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):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Віттгенштайн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Фляйшер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;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буквосполучення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eu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– як ой: фройляйн,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Нойбауер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.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давніших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запозиченнях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німецьке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буквосполучення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передаємо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транслітерованому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вигляді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через ей: крейцер,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гросмейстер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Гейне, Лейпциг.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Сватове, Синельникове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відмінюються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як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Рівне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Сватового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Синельникового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Рівного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), а Косово, Мукачево — як Дубно (Косова, Мукачева, Дубна).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назвах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свят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історичних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подій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великої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пишемо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тільки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першу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літеру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(День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пам’яті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примирення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), а в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назвах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державних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українських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свят —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усі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слова (День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Незалежності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).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великої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букви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пишемо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займенники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Ви, Ваш як форму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ввічливості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звертанні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однієї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конкретної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особи в листах,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офіційних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документах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тощо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Повідомляємо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Вам…,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Вітаємо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Вас…,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відповідь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Ваш запит…</w:t>
      </w:r>
    </w:p>
    <w:p w:rsidR="00C937A7" w:rsidRPr="00C937A7" w:rsidRDefault="00C937A7" w:rsidP="00C937A7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Ставимо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відступи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обабіч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скісної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риски: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синтетизм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/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аналітизм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окрім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та/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або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і/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або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словосполучень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(с/г, р/р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тощо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)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одиниць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виміру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(км/год)).</w:t>
      </w:r>
    </w:p>
    <w:p w:rsidR="00C937A7" w:rsidRPr="00C937A7" w:rsidRDefault="00C937A7" w:rsidP="00C937A7">
      <w:pPr>
        <w:shd w:val="clear" w:color="auto" w:fill="FFFFFF"/>
        <w:spacing w:before="540" w:after="285" w:line="450" w:lineRule="atLeast"/>
        <w:outlineLvl w:val="1"/>
        <w:rPr>
          <w:rFonts w:ascii="Arial" w:eastAsia="Times New Roman" w:hAnsi="Arial" w:cs="Arial"/>
          <w:color w:val="3F51B5"/>
          <w:sz w:val="41"/>
          <w:szCs w:val="41"/>
          <w:lang w:eastAsia="ru-RU"/>
        </w:rPr>
      </w:pPr>
      <w:r w:rsidRPr="00C937A7">
        <w:rPr>
          <w:rFonts w:ascii="Arial" w:eastAsia="Times New Roman" w:hAnsi="Arial" w:cs="Arial"/>
          <w:color w:val="3F51B5"/>
          <w:sz w:val="41"/>
          <w:szCs w:val="41"/>
          <w:lang w:eastAsia="ru-RU"/>
        </w:rPr>
        <w:t>ВАРІАТИВНА НОРМА (</w:t>
      </w:r>
      <w:proofErr w:type="spellStart"/>
      <w:r w:rsidRPr="00C937A7">
        <w:rPr>
          <w:rFonts w:ascii="Arial" w:eastAsia="Times New Roman" w:hAnsi="Arial" w:cs="Arial"/>
          <w:color w:val="3F51B5"/>
          <w:sz w:val="41"/>
          <w:szCs w:val="41"/>
          <w:lang w:eastAsia="ru-RU"/>
        </w:rPr>
        <w:t>можна</w:t>
      </w:r>
      <w:proofErr w:type="spellEnd"/>
      <w:r w:rsidRPr="00C937A7">
        <w:rPr>
          <w:rFonts w:ascii="Arial" w:eastAsia="Times New Roman" w:hAnsi="Arial" w:cs="Arial"/>
          <w:color w:val="3F51B5"/>
          <w:sz w:val="41"/>
          <w:szCs w:val="41"/>
          <w:lang w:eastAsia="ru-RU"/>
        </w:rPr>
        <w:t xml:space="preserve"> і так, і так):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Ґ, ґ на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місці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G, g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запозичених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власних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назвах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Ґете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Гете;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Ґуллівер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Гуллівер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(§ 122). Але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пошукова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система «Гугл», а не «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Ґуґл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».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Якщо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без родового слова — 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малої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без лапок: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гугл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lastRenderedPageBreak/>
        <w:t>Буквосполучення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th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 словах</w:t>
      </w:r>
      <w:proofErr w:type="gram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грецького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походження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можна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передавати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літерами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 і ф: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етер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ефір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катедра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кафедра,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міф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Атени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Афіни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 словах</w:t>
      </w:r>
      <w:proofErr w:type="gram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походять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із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давньогрецької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латинської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буквосполучення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au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можна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передавати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як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ау: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авдиторія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аудиторія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фавна і фауна,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павза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пауза,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лавреат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лауреат.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 початку</w:t>
      </w:r>
      <w:proofErr w:type="gram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деяких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слів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можна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писати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и: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ирій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ирод,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икати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ич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индика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немає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назвах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церковних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звань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титулів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чинів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уживаємо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префікси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архи-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архі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-: архимандрит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архімандрит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архиєрей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архієрей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архистратиг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архістратиг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У родовому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іменників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lll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можемо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писати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закінчення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-и та -і: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кро‌ви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крові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любо‌ви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любові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о‌сени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осені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со‌ли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солі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Ру‌си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‌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Русі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Білору‌си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Білорусі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;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гі‌дности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гідності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незале‌жности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незалежності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ра‌дости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радості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сме‌рти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смерті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че‌сти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честі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міст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у родовому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можуть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закінчення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-у (-ю) та -а (-я): Амстердаму і Амстердама, Лондону і Лондона, Парижу і Парижа,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Чорнобилю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Чорнобиля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окрім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міст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із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суфіксами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ськ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цьк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ець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 (-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їв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-), -ев- (-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єв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-),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-, -ин- (-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-),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ач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ич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-,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елементами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бург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-, -град- (-город-),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піль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 (-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поль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-), -мир-, -слав-)).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Чоловічі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прізвища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закінчуються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-ин,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їн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давальному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мають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закінчення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-у та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Яковишину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Яковишинові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Палладіну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Палладінові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Ільїну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Ільїнові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Прізвища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прикметникового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походження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закінчуються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їв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, -ев (-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єв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), -ин, 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(-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їн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),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кличному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можуть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закінчення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-е: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Що‌голеве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Щоголів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Глі‌бове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Глібов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Гуля‌єве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Гуляєв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Степани‌шине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Степанишин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звертаннях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складаються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із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загальної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чоловічого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прізвища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gram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 форму</w:t>
      </w:r>
      <w:proofErr w:type="gram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кличного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прізвище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можна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ставити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можна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й не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ставити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дру‌же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Макси‌менку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друже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Максименко,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коле‌го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Євгенищуку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‌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колего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Євгенищук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па‌не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Кова‌лю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пане Коваль. Але 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звертаннях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до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жінок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форму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кличного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відмінка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завжди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мають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загальна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назва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і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прізвище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: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добродійко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Вариводо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пані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Гаркуше,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поетко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Забашто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Автори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нинішнього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варіанту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стверджують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що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він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«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розроблений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фундаменті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української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правописної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традиції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з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урахуванням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новітніх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мовних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явищ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» та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зможе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захистити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українську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мову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русифікації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</w:t>
      </w:r>
    </w:p>
    <w:p w:rsidR="00C937A7" w:rsidRPr="00C937A7" w:rsidRDefault="00C937A7" w:rsidP="00C937A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Відтепер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рекомендується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 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застосовувати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норми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та правила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нової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редакції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Правопису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усіх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сферах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суспільного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життя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зокрема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, в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офіційно-діловому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стилі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мовлення</w:t>
      </w:r>
      <w:proofErr w:type="spellEnd"/>
      <w:r w:rsidRPr="00C937A7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. </w:t>
      </w:r>
    </w:p>
    <w:p w:rsidR="00A77EDD" w:rsidRDefault="00A77EDD">
      <w:bookmarkStart w:id="0" w:name="_GoBack"/>
      <w:bookmarkEnd w:id="0"/>
    </w:p>
    <w:sectPr w:rsidR="00A7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2D57"/>
    <w:multiLevelType w:val="multilevel"/>
    <w:tmpl w:val="548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14DA6"/>
    <w:multiLevelType w:val="multilevel"/>
    <w:tmpl w:val="4BB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D76A5"/>
    <w:multiLevelType w:val="multilevel"/>
    <w:tmpl w:val="C38E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DD"/>
    <w:rsid w:val="00A77EDD"/>
    <w:rsid w:val="00C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CEEFB-694E-46B3-9F0A-AEFE1FC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2024-05-27T06:56:00Z</dcterms:created>
  <dcterms:modified xsi:type="dcterms:W3CDTF">2024-05-27T06:59:00Z</dcterms:modified>
</cp:coreProperties>
</file>